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1" w:rsidRDefault="00F200A1" w:rsidP="00F200A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16. Региональная адресная программа по переселению граждан из аварийного жилищного фонда</w:t>
      </w:r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830"/>
      <w:bookmarkStart w:id="1" w:name="100808"/>
      <w:bookmarkStart w:id="2" w:name="100561"/>
      <w:bookmarkStart w:id="3" w:name="100158"/>
      <w:bookmarkStart w:id="4" w:name="100444"/>
      <w:bookmarkEnd w:id="0"/>
      <w:bookmarkEnd w:id="1"/>
      <w:bookmarkEnd w:id="2"/>
      <w:bookmarkEnd w:id="3"/>
      <w:bookmarkEnd w:id="4"/>
      <w:r>
        <w:rPr>
          <w:rFonts w:ascii="Arial" w:hAnsi="Arial" w:cs="Arial"/>
          <w:color w:val="000000"/>
          <w:sz w:val="23"/>
          <w:szCs w:val="23"/>
        </w:rPr>
        <w:t>1.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Федерации. В случае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если действие такой программы начинается после 1 января 2019 года, она утверждается на период до 1 сентября 2025 года.</w:t>
      </w:r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562"/>
      <w:bookmarkStart w:id="6" w:name="100159"/>
      <w:bookmarkStart w:id="7" w:name="100445"/>
      <w:bookmarkStart w:id="8" w:name="100160"/>
      <w:bookmarkStart w:id="9" w:name="100353"/>
      <w:bookmarkStart w:id="10" w:name="100161"/>
      <w:bookmarkStart w:id="11" w:name="100162"/>
      <w:bookmarkStart w:id="12" w:name="100163"/>
      <w:bookmarkStart w:id="13" w:name="100354"/>
      <w:bookmarkStart w:id="14" w:name="00009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Arial" w:hAnsi="Arial" w:cs="Arial"/>
          <w:color w:val="000000"/>
          <w:sz w:val="23"/>
          <w:szCs w:val="23"/>
        </w:rPr>
        <w:t>2. Региональная адресная программа по переселению граждан из аварийного жилищного фонда должна содержать, в частности:</w:t>
      </w:r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5" w:name="100831"/>
      <w:bookmarkStart w:id="16" w:name="100563"/>
      <w:bookmarkEnd w:id="15"/>
      <w:bookmarkEnd w:id="16"/>
      <w:r>
        <w:rPr>
          <w:rFonts w:ascii="Arial" w:hAnsi="Arial" w:cs="Arial"/>
          <w:color w:val="000000"/>
          <w:sz w:val="23"/>
          <w:szCs w:val="23"/>
        </w:rPr>
        <w:t>1) перечень многоквартирных домов,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7" w:name="100678"/>
      <w:bookmarkStart w:id="18" w:name="100564"/>
      <w:bookmarkEnd w:id="17"/>
      <w:bookmarkEnd w:id="18"/>
      <w:r>
        <w:rPr>
          <w:rFonts w:ascii="Arial" w:hAnsi="Arial" w:cs="Arial"/>
          <w:color w:val="000000"/>
          <w:sz w:val="23"/>
          <w:szCs w:val="23"/>
        </w:rPr>
        <w:t>2) срок переселения граждан из каждого многоквартирного дома, включенного в перечень, указанный в </w:t>
      </w:r>
      <w:hyperlink r:id="rId5" w:anchor="10056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пункте 1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настоящей части.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этом в первоочередном порядке подлежат переселению граждане из многоквартирных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домов, расположенных на территории этого муниципального образования, а также из многоквартирных домов при наличии угрозы их обрушения или при переселении граждан 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основании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вступившего в законную силу решения суда. В случае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если несколько многоквартирных домов, признанных аварийными и подлежащими сносу или реконструкции в разные годы, расположены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фонда;</w:t>
      </w:r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9" w:name="100852"/>
      <w:bookmarkStart w:id="20" w:name="100780"/>
      <w:bookmarkStart w:id="21" w:name="100565"/>
      <w:bookmarkEnd w:id="19"/>
      <w:bookmarkEnd w:id="20"/>
      <w:bookmarkEnd w:id="21"/>
      <w:r>
        <w:rPr>
          <w:rFonts w:ascii="Arial" w:hAnsi="Arial" w:cs="Arial"/>
          <w:color w:val="000000"/>
          <w:sz w:val="23"/>
          <w:szCs w:val="23"/>
        </w:rPr>
        <w:t xml:space="preserve">3) объем средств Фонда, объем долевого финансирования за счет средств бюджетов субъектов Российской Федерации, средств местных бюджетов и (или) внебюджетных средств на переселение граждан из аварийного жилищного фонда на весь период действия этой программы, но не более чем на текущий календарный год и два последующих календарных года с разбивкой этой программы по этапам, начало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реализации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которых приходится на указанные годы;</w:t>
      </w:r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2" w:name="100853"/>
      <w:bookmarkStart w:id="23" w:name="000136"/>
      <w:bookmarkStart w:id="24" w:name="100566"/>
      <w:bookmarkEnd w:id="22"/>
      <w:bookmarkEnd w:id="23"/>
      <w:bookmarkEnd w:id="24"/>
      <w:proofErr w:type="gramStart"/>
      <w:r>
        <w:rPr>
          <w:rFonts w:ascii="Arial" w:hAnsi="Arial" w:cs="Arial"/>
          <w:color w:val="000000"/>
          <w:sz w:val="23"/>
          <w:szCs w:val="23"/>
        </w:rPr>
        <w:t>4) обоснование потребности в предусмотренных </w:t>
      </w:r>
      <w:hyperlink r:id="rId6" w:anchor="100852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пунктом 3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части объеме средств Фонда, объеме долевого финансирования за счет средств бюджетов субъектов Российской Федерации, средств местных бюджетов с учетом планируемых направлений использования указанных средств и возможности привлечения внебюджетных средств;</w:t>
      </w:r>
      <w:proofErr w:type="gramEnd"/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5" w:name="100679"/>
      <w:bookmarkStart w:id="26" w:name="100567"/>
      <w:bookmarkEnd w:id="25"/>
      <w:bookmarkEnd w:id="26"/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5) планируемые показатели выполнения этой программы, отражающие общую площадь аварийного жилищного фонда, переселение граждан из которого предусмотрено этой программой в целом и каждым ее этапом, под которым понимается часть этой программы, финансируемая с использованием финансовой поддержки за счет средств Фонда, решение о предоставлении которой принимается </w:t>
      </w:r>
      <w:r>
        <w:rPr>
          <w:rFonts w:ascii="Arial" w:hAnsi="Arial" w:cs="Arial"/>
          <w:color w:val="000000"/>
          <w:sz w:val="23"/>
          <w:szCs w:val="23"/>
        </w:rPr>
        <w:lastRenderedPageBreak/>
        <w:t>на основании поданных субъектами Российской Федерации заявок в одном календарном году и которая должна быть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реализована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не позднее срока, установленного </w:t>
      </w:r>
      <w:hyperlink r:id="rId7" w:anchor="10044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частью 11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статьи. Общая площадь аварийного жилищного фонда, переселение граждан из которого предусмотрено этапом региональной адресной программы по переселению граждан из аварийного жилищного фонда (далее - размер этапа региональной адресной программы по переселению граждан из аварийного жилищного фонда), должна соответствовать требованиям </w:t>
      </w:r>
      <w:hyperlink r:id="rId8" w:anchor="10056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части 2.1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статьи.</w:t>
      </w:r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7" w:name="100854"/>
      <w:bookmarkStart w:id="28" w:name="100832"/>
      <w:bookmarkStart w:id="29" w:name="100809"/>
      <w:bookmarkStart w:id="30" w:name="100742"/>
      <w:bookmarkStart w:id="31" w:name="100680"/>
      <w:bookmarkStart w:id="32" w:name="100568"/>
      <w:bookmarkEnd w:id="27"/>
      <w:bookmarkEnd w:id="28"/>
      <w:bookmarkEnd w:id="29"/>
      <w:bookmarkEnd w:id="30"/>
      <w:bookmarkEnd w:id="31"/>
      <w:bookmarkEnd w:id="32"/>
      <w:r>
        <w:rPr>
          <w:rFonts w:ascii="Arial" w:hAnsi="Arial" w:cs="Arial"/>
          <w:color w:val="000000"/>
          <w:sz w:val="23"/>
          <w:szCs w:val="23"/>
        </w:rPr>
        <w:t>2.1. Размер этапа текущего года региональной адресной программы по переселению граждан из аварийного жилищного фонда, указанный в </w:t>
      </w:r>
      <w:hyperlink r:id="rId9" w:anchor="100679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пункте 5 части 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статьи, определяется в порядке, установленном Правительством Российской Федерации.</w:t>
      </w:r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3" w:name="100569"/>
      <w:bookmarkEnd w:id="33"/>
      <w:r>
        <w:rPr>
          <w:rFonts w:ascii="Arial" w:hAnsi="Arial" w:cs="Arial"/>
          <w:color w:val="000000"/>
          <w:sz w:val="23"/>
          <w:szCs w:val="23"/>
        </w:rPr>
        <w:t>2.2. Не допускается внесение в региональную адресную программу по переселению граждан из аварийного жилищного фонда изменений, которые приводят к нарушению требований, установленных </w:t>
      </w:r>
      <w:hyperlink r:id="rId10" w:anchor="100159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частями 2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11" w:anchor="10056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2.1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статьи.</w:t>
      </w:r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4" w:name="100855"/>
      <w:bookmarkEnd w:id="34"/>
      <w:r>
        <w:rPr>
          <w:rFonts w:ascii="Arial" w:hAnsi="Arial" w:cs="Arial"/>
          <w:color w:val="000000"/>
          <w:sz w:val="23"/>
          <w:szCs w:val="23"/>
        </w:rPr>
        <w:t>2.3. Методические рекомендации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хозяйства.</w:t>
      </w:r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5" w:name="000093"/>
      <w:bookmarkStart w:id="36" w:name="100164"/>
      <w:bookmarkEnd w:id="35"/>
      <w:bookmarkEnd w:id="36"/>
      <w:r>
        <w:rPr>
          <w:rFonts w:ascii="Arial" w:hAnsi="Arial" w:cs="Arial"/>
          <w:color w:val="000000"/>
          <w:sz w:val="23"/>
          <w:szCs w:val="23"/>
        </w:rPr>
        <w:t xml:space="preserve">3. Переселение граждан из аварийного жилищного фонда осуществляется в соответствии с жилищным законодательством.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Жилое помещение, предоставляемое гражданам при переселении их в соответствии с настоящим Федеральным законом из аварийного жилищного фонда,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Федерации, на территории которого расположено ранее занимаемое жилое помещение.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этом отказы, в том числе неоднократные отказы,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Федерации, на территории которого расположено ранее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занимаемое жилое помещение.</w:t>
      </w:r>
    </w:p>
    <w:p w:rsidR="00F200A1" w:rsidRDefault="00F200A1" w:rsidP="00F200A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7" w:name="100570"/>
      <w:bookmarkStart w:id="38" w:name="100446"/>
      <w:bookmarkStart w:id="39" w:name="000094"/>
      <w:bookmarkStart w:id="40" w:name="100447"/>
      <w:bookmarkStart w:id="41" w:name="000095"/>
      <w:bookmarkEnd w:id="37"/>
      <w:bookmarkEnd w:id="38"/>
      <w:bookmarkEnd w:id="39"/>
      <w:bookmarkEnd w:id="40"/>
      <w:bookmarkEnd w:id="41"/>
      <w:r>
        <w:rPr>
          <w:rFonts w:ascii="Arial" w:hAnsi="Arial" w:cs="Arial"/>
          <w:color w:val="000000"/>
          <w:sz w:val="23"/>
          <w:szCs w:val="23"/>
        </w:rPr>
        <w:t>4 - 5. Утратили силу с 1 августа 2013 года. - Федеральный закон от 23.07.2013 N 240-ФЗ.</w:t>
      </w:r>
    </w:p>
    <w:p w:rsidR="00AB1DAA" w:rsidRDefault="00AB1DAA">
      <w:bookmarkStart w:id="42" w:name="_GoBack"/>
      <w:bookmarkEnd w:id="42"/>
    </w:p>
    <w:sectPr w:rsidR="00AB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62"/>
    <w:rsid w:val="00AB1DAA"/>
    <w:rsid w:val="00CD0462"/>
    <w:rsid w:val="00F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2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0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2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0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1072007-n-185-fz-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21072007-n-185-fz-o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1072007-n-185-fz-o/" TargetMode="External"/><Relationship Id="rId11" Type="http://schemas.openxmlformats.org/officeDocument/2006/relationships/hyperlink" Target="https://legalacts.ru/doc/federalnyi-zakon-ot-21072007-n-185-fz-o/" TargetMode="External"/><Relationship Id="rId5" Type="http://schemas.openxmlformats.org/officeDocument/2006/relationships/hyperlink" Target="https://legalacts.ru/doc/federalnyi-zakon-ot-21072007-n-185-fz-o/" TargetMode="External"/><Relationship Id="rId10" Type="http://schemas.openxmlformats.org/officeDocument/2006/relationships/hyperlink" Target="https://legalacts.ru/doc/federalnyi-zakon-ot-21072007-n-185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1072007-n-18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2020-02-26T05:14:00Z</cp:lastPrinted>
  <dcterms:created xsi:type="dcterms:W3CDTF">2020-02-26T05:14:00Z</dcterms:created>
  <dcterms:modified xsi:type="dcterms:W3CDTF">2020-02-26T05:16:00Z</dcterms:modified>
</cp:coreProperties>
</file>