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56" w:type="dxa"/>
        <w:tblLayout w:type="fixed"/>
        <w:tblLook w:val="01E0" w:firstRow="1" w:lastRow="1" w:firstColumn="1" w:lastColumn="1" w:noHBand="0" w:noVBand="0"/>
      </w:tblPr>
      <w:tblGrid>
        <w:gridCol w:w="4673"/>
        <w:gridCol w:w="15120"/>
      </w:tblGrid>
      <w:tr w:rsidR="0088542E">
        <w:trPr>
          <w:trHeight w:val="730"/>
        </w:trPr>
        <w:tc>
          <w:tcPr>
            <w:tcW w:w="4673" w:type="dxa"/>
          </w:tcPr>
          <w:p w:rsidR="0088542E" w:rsidRDefault="0088542E">
            <w:pPr>
              <w:pStyle w:val="TableParagraph"/>
              <w:ind w:left="0"/>
              <w:jc w:val="left"/>
              <w:rPr>
                <w:sz w:val="32"/>
              </w:rPr>
            </w:pPr>
          </w:p>
        </w:tc>
        <w:tc>
          <w:tcPr>
            <w:tcW w:w="15120" w:type="dxa"/>
          </w:tcPr>
          <w:p w:rsidR="0088542E" w:rsidRDefault="00117D0B">
            <w:pPr>
              <w:pStyle w:val="TableParagraph"/>
              <w:spacing w:line="444" w:lineRule="exact"/>
              <w:ind w:left="577"/>
              <w:jc w:val="left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ПАМЯТКА</w:t>
            </w:r>
            <w:r>
              <w:rPr>
                <w:b/>
                <w:color w:val="FF0000"/>
                <w:spacing w:val="-2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ПО</w:t>
            </w:r>
            <w:r>
              <w:rPr>
                <w:b/>
                <w:color w:val="FF0000"/>
                <w:spacing w:val="-4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СБОРУ</w:t>
            </w:r>
            <w:r>
              <w:rPr>
                <w:b/>
                <w:color w:val="FF0000"/>
                <w:spacing w:val="-1"/>
                <w:sz w:val="40"/>
              </w:rPr>
              <w:t xml:space="preserve"> </w:t>
            </w:r>
            <w:r>
              <w:rPr>
                <w:b/>
                <w:color w:val="FF0000"/>
                <w:sz w:val="40"/>
              </w:rPr>
              <w:t>ВАЛЕЖНИКА</w:t>
            </w:r>
          </w:p>
        </w:tc>
      </w:tr>
      <w:tr w:rsidR="0088542E">
        <w:trPr>
          <w:trHeight w:val="6139"/>
        </w:trPr>
        <w:tc>
          <w:tcPr>
            <w:tcW w:w="4673" w:type="dxa"/>
          </w:tcPr>
          <w:p w:rsidR="0088542E" w:rsidRDefault="004454CF">
            <w:pPr>
              <w:pStyle w:val="TableParagraph"/>
              <w:spacing w:before="270"/>
              <w:ind w:left="233"/>
              <w:jc w:val="left"/>
              <w:rPr>
                <w:b/>
                <w:sz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0" distR="0" simplePos="0" relativeHeight="487557632" behindDoc="1" locked="0" layoutInCell="1" allowOverlap="1" wp14:anchorId="641416DB" wp14:editId="71BDB5AF">
                  <wp:simplePos x="0" y="0"/>
                  <wp:positionH relativeFrom="page">
                    <wp:posOffset>-1170305</wp:posOffset>
                  </wp:positionH>
                  <wp:positionV relativeFrom="page">
                    <wp:posOffset>838835</wp:posOffset>
                  </wp:positionV>
                  <wp:extent cx="4725035" cy="2947035"/>
                  <wp:effectExtent l="0" t="0" r="0" b="5715"/>
                  <wp:wrapNone/>
                  <wp:docPr id="1" name="image1.jpeg" descr="ÐÐ°ÐºÐ¾Ð½ Ð¾ ÑÐ±Ð¾ÑÐµ Ð²Ð°Ð»ÐµÐ¶Ð½Ð¸ÐºÐ° Ð² Ð»ÐµÑÑ Ñ 1 ÑÐ½Ð²Ð°ÑÑ 2019 Ð³Ð¾Ð´Ð°: Ð¿Ð¾Ð´ÑÐ¾Ð±Ð½Ð¾ÑÑÐ¸, Ð¸Ð·Ð¼ÐµÐ½ÐµÐ½Ð¸Ñ, Ð¿Ð¾ÑÑÐ´Ð¾Ðº Ð·Ð°Ð³Ð¾ÑÐ¾Ð²ÐºÐ¸ Ð²ÐµÑÐ¾Ðº Ð¸ ÑÑÑÐ¾ÑÑÐ¾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035" cy="294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117D0B">
              <w:rPr>
                <w:b/>
                <w:sz w:val="40"/>
                <w:u w:val="thick"/>
              </w:rPr>
              <w:t>РАЗРЕШАЕТСЯ!</w:t>
            </w:r>
          </w:p>
        </w:tc>
        <w:tc>
          <w:tcPr>
            <w:tcW w:w="15120" w:type="dxa"/>
          </w:tcPr>
          <w:p w:rsidR="0088542E" w:rsidRDefault="00117D0B">
            <w:pPr>
              <w:pStyle w:val="TableParagraph"/>
              <w:spacing w:before="270"/>
              <w:ind w:left="6453" w:right="5479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ВАЖНО</w:t>
            </w:r>
            <w:r>
              <w:rPr>
                <w:b/>
                <w:spacing w:val="-3"/>
                <w:sz w:val="40"/>
                <w:u w:val="thick"/>
              </w:rPr>
              <w:t xml:space="preserve"> </w:t>
            </w:r>
            <w:r>
              <w:rPr>
                <w:b/>
                <w:sz w:val="40"/>
                <w:u w:val="thick"/>
              </w:rPr>
              <w:t>ЗНАТЬ!</w:t>
            </w:r>
          </w:p>
          <w:p w:rsidR="0088542E" w:rsidRDefault="0088542E">
            <w:pPr>
              <w:pStyle w:val="TableParagraph"/>
              <w:spacing w:before="4"/>
              <w:ind w:left="0"/>
              <w:jc w:val="left"/>
              <w:rPr>
                <w:sz w:val="39"/>
              </w:rPr>
            </w:pPr>
          </w:p>
          <w:p w:rsidR="0088542E" w:rsidRDefault="00117D0B">
            <w:pPr>
              <w:pStyle w:val="TableParagraph"/>
              <w:ind w:right="201" w:firstLine="708"/>
              <w:rPr>
                <w:sz w:val="32"/>
              </w:rPr>
            </w:pPr>
            <w:r>
              <w:rPr>
                <w:sz w:val="32"/>
              </w:rPr>
              <w:t>При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заготовке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валежника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осуществляется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сбор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лежащих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поверхности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земли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остатков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стволов деревьев, сучьев, не являющихся порубочными остатками в местах проведения лесосечных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работ, и (или) образовавшихся вследствие естественного отмирания деревьев, при их повреждении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вредными организмами, буреломе,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снеговале.</w:t>
            </w:r>
          </w:p>
          <w:p w:rsidR="0088542E" w:rsidRDefault="00117D0B">
            <w:pPr>
              <w:pStyle w:val="TableParagraph"/>
              <w:ind w:right="203" w:firstLine="708"/>
              <w:rPr>
                <w:sz w:val="32"/>
              </w:rPr>
            </w:pPr>
            <w:proofErr w:type="gramStart"/>
            <w:r>
              <w:rPr>
                <w:sz w:val="32"/>
              </w:rPr>
              <w:t>Валежник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упавшие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землю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результате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естественных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биологических</w:t>
            </w:r>
            <w:r>
              <w:rPr>
                <w:spacing w:val="81"/>
                <w:sz w:val="32"/>
              </w:rPr>
              <w:t xml:space="preserve"> </w:t>
            </w:r>
            <w:r>
              <w:rPr>
                <w:sz w:val="32"/>
              </w:rPr>
              <w:t>процессов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(усыхание,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повреждение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насекомыми,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стволовыми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вредителями,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поражение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болезнями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леса,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нарушение целостности корневой системы и т.д.) или под воздействием неблагоприятных факторов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окружающей среды стволы деревьев или их части (сучья, ветви), утратившие технические качества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товарную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ценность.</w:t>
            </w:r>
            <w:proofErr w:type="gramEnd"/>
          </w:p>
          <w:p w:rsidR="0088542E" w:rsidRDefault="00117D0B">
            <w:pPr>
              <w:pStyle w:val="TableParagraph"/>
              <w:spacing w:before="1"/>
              <w:ind w:right="198" w:firstLine="638"/>
              <w:rPr>
                <w:sz w:val="32"/>
              </w:rPr>
            </w:pPr>
            <w:r>
              <w:rPr>
                <w:sz w:val="32"/>
              </w:rPr>
              <w:t>Обращаем внимание, категорически запрещается распиливать порубочные остатки и вывозить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их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леса.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Запрещается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собирать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валежник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лесосеках,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местах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проведения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лесосечных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работ.</w:t>
            </w:r>
          </w:p>
          <w:p w:rsidR="0088542E" w:rsidRDefault="00117D0B">
            <w:pPr>
              <w:pStyle w:val="TableParagraph"/>
              <w:ind w:right="198" w:firstLine="717"/>
              <w:rPr>
                <w:sz w:val="32"/>
              </w:rPr>
            </w:pPr>
            <w:r>
              <w:rPr>
                <w:sz w:val="32"/>
              </w:rPr>
              <w:t>Не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допускается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складирование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хранение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заготовленного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валежника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лесу,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оставление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отходов,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образующихся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сборе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валежника.</w:t>
            </w:r>
          </w:p>
        </w:tc>
      </w:tr>
      <w:tr w:rsidR="0088542E">
        <w:trPr>
          <w:trHeight w:val="7326"/>
        </w:trPr>
        <w:tc>
          <w:tcPr>
            <w:tcW w:w="4673" w:type="dxa"/>
          </w:tcPr>
          <w:p w:rsidR="0088542E" w:rsidRDefault="00117D0B">
            <w:pPr>
              <w:pStyle w:val="TableParagraph"/>
              <w:spacing w:before="156"/>
              <w:ind w:left="200"/>
              <w:jc w:val="left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ЗАПРЕЩАЕТСЯ!</w:t>
            </w:r>
          </w:p>
        </w:tc>
        <w:tc>
          <w:tcPr>
            <w:tcW w:w="15120" w:type="dxa"/>
          </w:tcPr>
          <w:p w:rsidR="0088542E" w:rsidRDefault="00117D0B">
            <w:pPr>
              <w:pStyle w:val="TableParagraph"/>
              <w:spacing w:before="156"/>
              <w:ind w:left="4386"/>
              <w:jc w:val="left"/>
              <w:rPr>
                <w:b/>
                <w:sz w:val="40"/>
              </w:rPr>
            </w:pPr>
            <w:r>
              <w:rPr>
                <w:b/>
                <w:sz w:val="40"/>
                <w:u w:val="thick"/>
              </w:rPr>
              <w:t>ОБРАЩАЕМ</w:t>
            </w:r>
            <w:r>
              <w:rPr>
                <w:b/>
                <w:spacing w:val="-1"/>
                <w:sz w:val="40"/>
                <w:u w:val="thick"/>
              </w:rPr>
              <w:t xml:space="preserve"> </w:t>
            </w:r>
            <w:r>
              <w:rPr>
                <w:b/>
                <w:sz w:val="40"/>
                <w:u w:val="thick"/>
              </w:rPr>
              <w:t>ВНИМАНИЕ</w:t>
            </w:r>
            <w:r>
              <w:rPr>
                <w:b/>
                <w:spacing w:val="-4"/>
                <w:sz w:val="40"/>
                <w:u w:val="thick"/>
              </w:rPr>
              <w:t xml:space="preserve"> </w:t>
            </w:r>
            <w:r>
              <w:rPr>
                <w:b/>
                <w:sz w:val="40"/>
                <w:u w:val="thick"/>
              </w:rPr>
              <w:t>ГРАЖДАН!</w:t>
            </w:r>
          </w:p>
          <w:p w:rsidR="0088542E" w:rsidRDefault="0088542E">
            <w:pPr>
              <w:pStyle w:val="TableParagraph"/>
              <w:spacing w:before="2"/>
              <w:ind w:left="0"/>
              <w:jc w:val="left"/>
              <w:rPr>
                <w:sz w:val="36"/>
              </w:rPr>
            </w:pPr>
          </w:p>
          <w:p w:rsidR="0088542E" w:rsidRDefault="00117D0B">
            <w:pPr>
              <w:pStyle w:val="TableParagraph"/>
              <w:spacing w:line="276" w:lineRule="auto"/>
              <w:ind w:right="200" w:firstLine="717"/>
              <w:rPr>
                <w:sz w:val="32"/>
              </w:rPr>
            </w:pPr>
            <w:r>
              <w:rPr>
                <w:sz w:val="32"/>
              </w:rPr>
              <w:t>Заготовка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буреломных,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ветровальных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деревьев,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стволовая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часть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которых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отделена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корневой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части,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находящейся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почве,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стволов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деревьев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частей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(сучья,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ветви),</w:t>
            </w:r>
            <w:r>
              <w:rPr>
                <w:spacing w:val="80"/>
                <w:sz w:val="32"/>
              </w:rPr>
              <w:t xml:space="preserve"> </w:t>
            </w:r>
            <w:r>
              <w:rPr>
                <w:sz w:val="32"/>
              </w:rPr>
              <w:t>не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 xml:space="preserve">утративших технические качества и товарную ценность </w:t>
            </w:r>
            <w:proofErr w:type="gramStart"/>
            <w:r>
              <w:rPr>
                <w:b/>
                <w:sz w:val="32"/>
              </w:rPr>
              <w:t xml:space="preserve">запрещена </w:t>
            </w:r>
            <w:r>
              <w:rPr>
                <w:sz w:val="32"/>
              </w:rPr>
              <w:t>и может</w:t>
            </w:r>
            <w:proofErr w:type="gramEnd"/>
            <w:r>
              <w:rPr>
                <w:sz w:val="32"/>
              </w:rPr>
              <w:t xml:space="preserve"> быть квалифицирована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как хищение, либо уничтожение или повреждение чужого имущества. (Постановление Пленума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Верховного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суда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Российской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Федерации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18.10.2012 г.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№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21).</w:t>
            </w:r>
          </w:p>
          <w:p w:rsidR="0088542E" w:rsidRDefault="00117D0B">
            <w:pPr>
              <w:pStyle w:val="TableParagraph"/>
              <w:spacing w:before="1" w:line="276" w:lineRule="auto"/>
              <w:ind w:right="200" w:firstLine="878"/>
              <w:rPr>
                <w:sz w:val="32"/>
              </w:rPr>
            </w:pPr>
            <w:r>
              <w:rPr>
                <w:sz w:val="32"/>
              </w:rPr>
              <w:t>За совершение незаконной рубки сухостойных деревьев, присвоение (хищение) древесины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буреломных,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ветровальных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деревьев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предусмотрена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ответственность,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также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возмещение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причинённого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ущерба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5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соответствии</w:t>
            </w:r>
            <w:proofErr w:type="gramEnd"/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Постановлением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Правительства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РФ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29.12.2018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г.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№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1730</w:t>
            </w:r>
          </w:p>
          <w:p w:rsidR="0088542E" w:rsidRDefault="00117D0B">
            <w:pPr>
              <w:pStyle w:val="TableParagraph"/>
              <w:spacing w:before="1" w:line="276" w:lineRule="auto"/>
              <w:ind w:right="201"/>
              <w:rPr>
                <w:sz w:val="32"/>
              </w:rPr>
            </w:pPr>
            <w:r>
              <w:rPr>
                <w:sz w:val="32"/>
              </w:rPr>
              <w:t>«Об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утверждении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особенностей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возмещения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вреда,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причинённого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лесам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находящимся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них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природным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объектам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вследствие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нарушения лесного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законодательства».</w:t>
            </w:r>
          </w:p>
          <w:p w:rsidR="0088542E" w:rsidRDefault="00117D0B">
            <w:pPr>
              <w:pStyle w:val="TableParagraph"/>
              <w:spacing w:line="276" w:lineRule="auto"/>
              <w:ind w:right="199" w:firstLine="799"/>
              <w:rPr>
                <w:sz w:val="32"/>
              </w:rPr>
            </w:pPr>
            <w:r>
              <w:rPr>
                <w:sz w:val="32"/>
              </w:rPr>
              <w:t>Особо отмечаем, что граждане при сборе валежника обязаны соблюдать Правила пожарной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безопасности в лесах, Правила санитарной безопасности в лесах (постановление Правительства РФ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от 30.06.2007 № 417 «Об утверждении Правил пожарной безопасности в лесах», постановление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Правительства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РФ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от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20.05.2017г.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sz w:val="32"/>
              </w:rPr>
              <w:t>№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607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«О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Правилах</w:t>
            </w:r>
            <w:r>
              <w:rPr>
                <w:spacing w:val="42"/>
                <w:sz w:val="32"/>
              </w:rPr>
              <w:t xml:space="preserve"> </w:t>
            </w:r>
            <w:r>
              <w:rPr>
                <w:sz w:val="32"/>
              </w:rPr>
              <w:t>санитарной</w:t>
            </w:r>
            <w:r>
              <w:rPr>
                <w:spacing w:val="44"/>
                <w:sz w:val="32"/>
              </w:rPr>
              <w:t xml:space="preserve"> </w:t>
            </w:r>
            <w:r>
              <w:rPr>
                <w:sz w:val="32"/>
              </w:rPr>
              <w:t>безопасности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43"/>
                <w:sz w:val="32"/>
              </w:rPr>
              <w:t xml:space="preserve"> </w:t>
            </w:r>
            <w:r>
              <w:rPr>
                <w:sz w:val="32"/>
              </w:rPr>
              <w:t>лесах»),</w:t>
            </w:r>
            <w:r>
              <w:rPr>
                <w:spacing w:val="41"/>
                <w:sz w:val="32"/>
              </w:rPr>
              <w:t xml:space="preserve"> </w:t>
            </w:r>
            <w:r>
              <w:rPr>
                <w:sz w:val="32"/>
              </w:rPr>
              <w:t>иные</w:t>
            </w:r>
          </w:p>
          <w:p w:rsidR="0088542E" w:rsidRDefault="00117D0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нормативно-правовые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акты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области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лесных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отношений.</w:t>
            </w:r>
          </w:p>
        </w:tc>
      </w:tr>
    </w:tbl>
    <w:p w:rsidR="0088542E" w:rsidRDefault="0088542E">
      <w:pPr>
        <w:pStyle w:val="a3"/>
        <w:rPr>
          <w:sz w:val="27"/>
        </w:rPr>
      </w:pPr>
    </w:p>
    <w:p w:rsidR="0088542E" w:rsidRDefault="00117D0B">
      <w:pPr>
        <w:pStyle w:val="a3"/>
        <w:spacing w:before="89"/>
        <w:ind w:left="112"/>
      </w:pPr>
      <w:r>
        <w:rPr>
          <w:noProof/>
          <w:lang w:eastAsia="ru-RU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-3843092</wp:posOffset>
            </wp:positionV>
            <wp:extent cx="4786359" cy="3586543"/>
            <wp:effectExtent l="0" t="0" r="0" b="0"/>
            <wp:wrapNone/>
            <wp:docPr id="3" name="image2.jpeg" descr="ÐÐ°ÐºÐ¾Ð½ Ð¾ ÑÐ±Ð¾ÑÐµ Ð²Ð°Ð»ÐµÐ¶Ð½Ð¸ÐºÐ° Ð² Ð»ÐµÑÑ Ñ 1 ÑÐ½Ð²Ð°ÑÑ 2019 Ð³Ð¾Ð´Ð°: Ð¿Ð¾Ð´ÑÐ¾Ð±Ð½Ð¾ÑÑÐ¸, Ð¸Ð·Ð¼ÐµÐ½ÐµÐ½Ð¸Ñ, Ð¿Ð¾ÑÑÐ´Ð¾Ðº Ð·Ð°Ð³Ð¾ÑÐ¾Ð²ÐºÐ¸ Ð²ÐµÑÐ¾Ðº Ð¸ ÑÑÑÐ¾ÑÑÐ¾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59" cy="358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3"/>
        </w:rPr>
        <w:t xml:space="preserve"> </w:t>
      </w:r>
      <w:r>
        <w:t>уважением,</w:t>
      </w:r>
      <w:r>
        <w:rPr>
          <w:spacing w:val="-5"/>
        </w:rPr>
        <w:t xml:space="preserve"> </w:t>
      </w:r>
      <w:r>
        <w:t>ЛОГКУ</w:t>
      </w:r>
      <w:r>
        <w:rPr>
          <w:spacing w:val="-2"/>
        </w:rPr>
        <w:t xml:space="preserve"> </w:t>
      </w:r>
      <w:r>
        <w:t>«</w:t>
      </w:r>
      <w:proofErr w:type="spellStart"/>
      <w:r>
        <w:t>Ленобллес</w:t>
      </w:r>
      <w:proofErr w:type="spellEnd"/>
      <w:r>
        <w:t>»</w:t>
      </w:r>
    </w:p>
    <w:sectPr w:rsidR="0088542E">
      <w:type w:val="continuous"/>
      <w:pgSz w:w="23820" w:h="16840" w:orient="landscape"/>
      <w:pgMar w:top="6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42E"/>
    <w:rsid w:val="00113B7D"/>
    <w:rsid w:val="00117D0B"/>
    <w:rsid w:val="004454CF"/>
    <w:rsid w:val="004861CF"/>
    <w:rsid w:val="008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Наталья Александровна</dc:creator>
  <cp:lastModifiedBy>Легун Кира Анатольевна</cp:lastModifiedBy>
  <cp:revision>5</cp:revision>
  <dcterms:created xsi:type="dcterms:W3CDTF">2022-02-14T08:39:00Z</dcterms:created>
  <dcterms:modified xsi:type="dcterms:W3CDTF">2022-02-14T08:48:00Z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